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C1" w:rsidRDefault="00C343C1" w:rsidP="00C343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CONDUCTIMETRÍA, ¿CUÁNDO, POR QUÉ Y PARA QUÉ?</w:t>
      </w:r>
      <w:bookmarkEnd w:id="0"/>
    </w:p>
    <w:p w:rsidR="00C343C1" w:rsidRDefault="00C343C1" w:rsidP="00C343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Bernal Mercado A.T., Federico</w:t>
      </w:r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 Pérez R.A.,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>Wicochea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  <w:t xml:space="preserve"> Rodríguez, J.D.</w:t>
      </w:r>
    </w:p>
    <w:p w:rsidR="00C343C1" w:rsidRDefault="00C343C1" w:rsidP="00C343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3"/>
          <w:szCs w:val="23"/>
        </w:rPr>
      </w:pPr>
    </w:p>
    <w:p w:rsidR="00B83999" w:rsidRPr="00C343C1" w:rsidRDefault="00C343C1" w:rsidP="00C3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 los métodos volumétricos uno de 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os puntos más importantes es la </w:t>
      </w:r>
      <w:r>
        <w:rPr>
          <w:rFonts w:ascii="Times New Roman" w:hAnsi="Times New Roman" w:cs="Times New Roman"/>
          <w:color w:val="000000"/>
          <w:sz w:val="23"/>
          <w:szCs w:val="23"/>
        </w:rPr>
        <w:t>detección del punto de equivalencia. El advenimiento de técnicas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instrumentales de análisis permitió incorporar nuevas formas 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detección del punto equivalente, que son 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ás exactas que las que utilizan </w:t>
      </w:r>
      <w:r>
        <w:rPr>
          <w:rFonts w:ascii="Times New Roman" w:hAnsi="Times New Roman" w:cs="Times New Roman"/>
          <w:color w:val="000000"/>
          <w:sz w:val="23"/>
          <w:szCs w:val="23"/>
        </w:rPr>
        <w:t>sustancias indicadoras. Estas técnicas determinan alguna propiedad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fisicoquímica asociada a alguna especie química de interés para 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determinación que se está realizando. Las medidas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conductimétricas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potenciométricas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detectan los cambios experimentados por el sistema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siguiendo el curso de las reacciones de neutralización en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disoluciones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electrolíticas coloreadas, </w:t>
      </w:r>
      <w:r>
        <w:rPr>
          <w:rFonts w:ascii="Times New Roman" w:hAnsi="Times New Roman" w:cs="Times New Roman"/>
          <w:color w:val="000000"/>
          <w:sz w:val="23"/>
          <w:szCs w:val="23"/>
        </w:rPr>
        <w:t>permitiendo detectar con precisión el punto 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equivalencia. Por otro lado, los vinos son susceptibles de adulteraciones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de distintos tipos, desde una dilución con agua hasta otras más complejas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como la adición de ácidos minerales. Las titulaciones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conductimétrica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potenciómetricas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son muy útiles en 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investigación de la adición de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ácido mineral a vinos. </w:t>
      </w:r>
      <w:r>
        <w:rPr>
          <w:rFonts w:ascii="Times New Roman" w:hAnsi="Times New Roman" w:cs="Times New Roman"/>
          <w:color w:val="333333"/>
          <w:sz w:val="23"/>
          <w:szCs w:val="23"/>
        </w:rPr>
        <w:t>Este trabajo experimental permitió comparar la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aplicabilidad y utilidad de las mediciones </w:t>
      </w:r>
      <w:proofErr w:type="spellStart"/>
      <w:r>
        <w:rPr>
          <w:rFonts w:ascii="Times New Roman" w:hAnsi="Times New Roman" w:cs="Times New Roman"/>
          <w:color w:val="333333"/>
          <w:sz w:val="23"/>
          <w:szCs w:val="23"/>
        </w:rPr>
        <w:t>conductimétricas</w:t>
      </w:r>
      <w:proofErr w:type="spell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3"/>
          <w:szCs w:val="23"/>
        </w:rPr>
        <w:t>potenciométricas</w:t>
      </w:r>
      <w:proofErr w:type="spellEnd"/>
      <w:r>
        <w:rPr>
          <w:rFonts w:ascii="Times New Roman" w:hAnsi="Times New Roman" w:cs="Times New Roman"/>
          <w:color w:val="333333"/>
          <w:sz w:val="23"/>
          <w:szCs w:val="23"/>
        </w:rPr>
        <w:t>. Para lo cual se analizaron muestras de vino tinto,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obteniéndose, por un lado la representació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gráfica de la variación de la </w:t>
      </w:r>
      <w:r>
        <w:rPr>
          <w:rFonts w:ascii="Times New Roman" w:hAnsi="Times New Roman" w:cs="Times New Roman"/>
          <w:color w:val="000000"/>
          <w:sz w:val="23"/>
          <w:szCs w:val="23"/>
        </w:rPr>
        <w:t>conductividad de la disolución en función del volumen de la disolución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valorante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; y por el otro, las representaciones gráficas de la variación del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pH en función del volumen de la disolución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valorante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utilizando 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método analítico de la primera derivada. Los resultados obtenidos en las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valoraciones visuales,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potenciométricas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conductimétricas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mostraron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promedios de 5,30 ± 0,05 g/L, 5,20 ± 0,01 g/L y 8,12 ± 0,22 g/L 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acidez total expresada como ácido tartárico, respectivamente. El método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conductimétrico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mostró una mayor sensibilidad en la determinación 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acidez total en muestras diluidas y coloreadas.</w:t>
      </w:r>
    </w:p>
    <w:sectPr w:rsidR="00B83999" w:rsidRPr="00C34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4"/>
    <w:rsid w:val="00295164"/>
    <w:rsid w:val="00B83999"/>
    <w:rsid w:val="00C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2012-09-03T19:59:00Z</dcterms:created>
  <dcterms:modified xsi:type="dcterms:W3CDTF">2012-09-03T19:59:00Z</dcterms:modified>
</cp:coreProperties>
</file>